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D93D7" w14:textId="77777777" w:rsidR="00913515" w:rsidRDefault="007B6691" w:rsidP="007B6691">
      <w:pPr>
        <w:jc w:val="center"/>
      </w:pPr>
      <w:r>
        <w:rPr>
          <w:noProof/>
        </w:rPr>
        <w:drawing>
          <wp:inline distT="0" distB="0" distL="0" distR="0" wp14:anchorId="214BE510" wp14:editId="491B0BD7">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62FD5C3F" w14:textId="77777777" w:rsidR="007B6691" w:rsidRDefault="007B6691"/>
    <w:p w14:paraId="2CC8BF1F" w14:textId="77777777" w:rsidR="00B7282C" w:rsidRDefault="007B6691" w:rsidP="007B6691">
      <w:pPr>
        <w:pStyle w:val="Heading1"/>
        <w:jc w:val="center"/>
      </w:pPr>
      <w:r w:rsidRPr="00B57BF3">
        <w:t>Asheville-Bunco</w:t>
      </w:r>
      <w:r w:rsidR="00B7282C">
        <w:t>mbe Technical Community College</w:t>
      </w:r>
    </w:p>
    <w:p w14:paraId="2C58C0C2" w14:textId="77777777" w:rsidR="007B6691" w:rsidRDefault="007B6691" w:rsidP="007B6691">
      <w:pPr>
        <w:pStyle w:val="Heading1"/>
        <w:jc w:val="center"/>
      </w:pPr>
      <w:r>
        <w:t xml:space="preserve">(A-B Tech) </w:t>
      </w:r>
      <w:r w:rsidR="00B7282C">
        <w:t>Procedure</w:t>
      </w:r>
    </w:p>
    <w:p w14:paraId="63E7AAAA" w14:textId="77777777" w:rsidR="007B6691" w:rsidRDefault="007B6691" w:rsidP="007B6691">
      <w:pPr>
        <w:jc w:val="center"/>
        <w:rPr>
          <w:b/>
        </w:rPr>
      </w:pPr>
    </w:p>
    <w:p w14:paraId="498B33F1" w14:textId="4E6B47E8"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8C7935">
        <w:rPr>
          <w:rFonts w:asciiTheme="minorHAnsi" w:hAnsiTheme="minorHAnsi"/>
          <w:sz w:val="28"/>
          <w:szCs w:val="28"/>
        </w:rPr>
        <w:t>106</w:t>
      </w:r>
      <w:r w:rsidR="00700FD2">
        <w:rPr>
          <w:rFonts w:asciiTheme="minorHAnsi" w:hAnsiTheme="minorHAnsi"/>
          <w:sz w:val="28"/>
          <w:szCs w:val="28"/>
        </w:rPr>
        <w:t xml:space="preserve">:  </w:t>
      </w:r>
      <w:r w:rsidR="008C7935">
        <w:rPr>
          <w:rFonts w:asciiTheme="minorHAnsi" w:hAnsiTheme="minorHAnsi"/>
          <w:sz w:val="28"/>
          <w:szCs w:val="28"/>
        </w:rPr>
        <w:t>Board of Trustees Expectations and Responsibilities</w:t>
      </w:r>
    </w:p>
    <w:p w14:paraId="1F9A11DC" w14:textId="0C3EF212" w:rsidR="00A14015" w:rsidRPr="00AA1C2D" w:rsidRDefault="00FF4118" w:rsidP="00AA1C2D">
      <w:pPr>
        <w:pStyle w:val="Heading2"/>
      </w:pPr>
      <w:r w:rsidRPr="00AA1C2D">
        <w:t>Trustee Expectations</w:t>
      </w:r>
    </w:p>
    <w:p w14:paraId="3076340A" w14:textId="49734828" w:rsidR="00AA1C2D" w:rsidRPr="00723CD3" w:rsidRDefault="00AA1C2D" w:rsidP="00AA1C2D">
      <w:pPr>
        <w:shd w:val="clear" w:color="auto" w:fill="FFFFFF"/>
        <w:spacing w:before="120" w:after="120" w:line="240" w:lineRule="auto"/>
        <w:rPr>
          <w:rFonts w:cstheme="minorHAnsi"/>
        </w:rPr>
      </w:pPr>
      <w:r w:rsidRPr="00723CD3">
        <w:rPr>
          <w:rFonts w:eastAsia="Times New Roman" w:cstheme="minorHAnsi"/>
        </w:rPr>
        <w:t>The Board of Trustees of Asheville-Buncombe Technical Community College shall possess and exercise those powers and duties as described by and delegated under Chapter 115D of the NC General Statutes</w:t>
      </w:r>
      <w:r w:rsidR="00F949E7">
        <w:rPr>
          <w:rFonts w:eastAsia="Times New Roman" w:cstheme="minorHAnsi"/>
        </w:rPr>
        <w:t xml:space="preserve"> (NCGS)</w:t>
      </w:r>
      <w:r w:rsidRPr="00723CD3">
        <w:rPr>
          <w:rFonts w:eastAsia="Times New Roman" w:cstheme="minorHAnsi"/>
        </w:rPr>
        <w:t xml:space="preserve">.  </w:t>
      </w:r>
      <w:r w:rsidRPr="00723CD3">
        <w:rPr>
          <w:rFonts w:cstheme="minorHAnsi"/>
        </w:rPr>
        <w:t xml:space="preserve">In accordance with </w:t>
      </w:r>
      <w:r w:rsidRPr="00723CD3">
        <w:rPr>
          <w:rFonts w:eastAsia="Times New Roman" w:cstheme="minorHAnsi"/>
        </w:rPr>
        <w:t>Subchapter 300 of the State Board of Community College Code</w:t>
      </w:r>
      <w:r w:rsidR="0091422C">
        <w:rPr>
          <w:rFonts w:eastAsia="Times New Roman" w:cstheme="minorHAnsi"/>
        </w:rPr>
        <w:t xml:space="preserve"> (SBCCC)</w:t>
      </w:r>
      <w:r w:rsidRPr="00723CD3">
        <w:rPr>
          <w:rFonts w:eastAsia="Times New Roman" w:cstheme="minorHAnsi"/>
        </w:rPr>
        <w:t>, “e</w:t>
      </w:r>
      <w:r w:rsidRPr="00723CD3">
        <w:rPr>
          <w:rFonts w:cstheme="minorHAnsi"/>
        </w:rPr>
        <w:t xml:space="preserve">ach college within the system shall operate under the direction of a board of trustees, a corporate body, which derives its authority from the law and rules of the State Board.” Likewise, in all things, the Board of Trustees operates with integrity (SACSCOC 1.1). </w:t>
      </w:r>
    </w:p>
    <w:p w14:paraId="74ABF7CA" w14:textId="51A1284C" w:rsidR="00A14015" w:rsidRPr="00AA1C2D" w:rsidRDefault="00AA1C2D" w:rsidP="00AA1C2D">
      <w:pPr>
        <w:pStyle w:val="Heading2"/>
      </w:pPr>
      <w:r w:rsidRPr="00AA1C2D">
        <w:t>Trustee Responsibilities</w:t>
      </w:r>
    </w:p>
    <w:p w14:paraId="61B4ACCD" w14:textId="77777777" w:rsidR="00723CD3" w:rsidRPr="00723CD3" w:rsidRDefault="00723CD3" w:rsidP="002930C7">
      <w:pPr>
        <w:pStyle w:val="Heading3"/>
      </w:pPr>
      <w:r w:rsidRPr="00723CD3">
        <w:t>Fiduciary</w:t>
      </w:r>
    </w:p>
    <w:p w14:paraId="6B563100" w14:textId="3FD82644" w:rsidR="00723CD3" w:rsidRPr="00723CD3" w:rsidRDefault="00723CD3" w:rsidP="00723CD3">
      <w:pPr>
        <w:numPr>
          <w:ilvl w:val="0"/>
          <w:numId w:val="7"/>
        </w:numPr>
        <w:spacing w:before="120" w:after="120" w:line="240" w:lineRule="auto"/>
      </w:pPr>
      <w:r w:rsidRPr="00723CD3">
        <w:t xml:space="preserve">Review the College’s fiscal operations as presented by College Administration </w:t>
      </w:r>
      <w:r w:rsidR="007B2B76" w:rsidRPr="00723CD3">
        <w:t>to</w:t>
      </w:r>
      <w:r w:rsidRPr="00723CD3">
        <w:t xml:space="preserve"> maintain sound fiscal and Management Practices (BOT Policy 400, 1A SBCCC 200.4, G.S. 143D-7, G.S. 115D-20(9), G.S. 7 115D-58.16, SACSCOC 4.1(b)).</w:t>
      </w:r>
    </w:p>
    <w:p w14:paraId="64A2C8DB" w14:textId="77777777" w:rsidR="00723CD3" w:rsidRPr="00723CD3" w:rsidRDefault="00723CD3" w:rsidP="00723CD3">
      <w:pPr>
        <w:numPr>
          <w:ilvl w:val="0"/>
          <w:numId w:val="7"/>
        </w:numPr>
        <w:spacing w:before="120" w:after="120" w:line="240" w:lineRule="auto"/>
      </w:pPr>
      <w:r w:rsidRPr="00723CD3">
        <w:t>Approve the annual budget and any student fees required for enrollment (1A SBCCC 200.4).</w:t>
      </w:r>
    </w:p>
    <w:p w14:paraId="54005D23" w14:textId="77777777" w:rsidR="00723CD3" w:rsidRPr="00723CD3" w:rsidRDefault="00723CD3" w:rsidP="00723CD3">
      <w:pPr>
        <w:numPr>
          <w:ilvl w:val="0"/>
          <w:numId w:val="7"/>
        </w:numPr>
        <w:spacing w:before="120" w:after="120" w:line="240" w:lineRule="auto"/>
      </w:pPr>
      <w:r w:rsidRPr="00723CD3">
        <w:t>Act as the legal owner of the institution (1B SBCCC 300.1 and 300.2, SACSCOC 4.1(a)).</w:t>
      </w:r>
    </w:p>
    <w:p w14:paraId="2D01F0EA" w14:textId="77777777" w:rsidR="00723CD3" w:rsidRPr="00723CD3" w:rsidRDefault="00723CD3" w:rsidP="00723CD3">
      <w:pPr>
        <w:numPr>
          <w:ilvl w:val="0"/>
          <w:numId w:val="7"/>
        </w:numPr>
        <w:spacing w:before="120" w:after="120" w:line="240" w:lineRule="auto"/>
      </w:pPr>
      <w:r w:rsidRPr="00723CD3">
        <w:t>Approve all new Building and Repair projects (1H SBCCC 400.3, 400.4, and 400.6).</w:t>
      </w:r>
    </w:p>
    <w:p w14:paraId="3E841BBF" w14:textId="77777777" w:rsidR="00723CD3" w:rsidRPr="00723CD3" w:rsidRDefault="00723CD3" w:rsidP="002930C7">
      <w:pPr>
        <w:pStyle w:val="Heading3"/>
      </w:pPr>
      <w:r w:rsidRPr="00723CD3">
        <w:t xml:space="preserve">Policy </w:t>
      </w:r>
    </w:p>
    <w:p w14:paraId="6D2946F3" w14:textId="77777777" w:rsidR="00723CD3" w:rsidRPr="00723CD3" w:rsidRDefault="00723CD3" w:rsidP="00723CD3">
      <w:pPr>
        <w:numPr>
          <w:ilvl w:val="0"/>
          <w:numId w:val="8"/>
        </w:numPr>
        <w:spacing w:before="120" w:after="120" w:line="240" w:lineRule="auto"/>
      </w:pPr>
      <w:r w:rsidRPr="00723CD3">
        <w:t>Approve the organization's mission, strategic goals, and objectives (1B SBCCC 400.2).</w:t>
      </w:r>
    </w:p>
    <w:p w14:paraId="6393CCF0" w14:textId="77777777" w:rsidR="00723CD3" w:rsidRPr="00723CD3" w:rsidRDefault="00723CD3" w:rsidP="00723CD3">
      <w:pPr>
        <w:numPr>
          <w:ilvl w:val="0"/>
          <w:numId w:val="8"/>
        </w:numPr>
        <w:spacing w:before="120" w:after="120" w:line="240" w:lineRule="auto"/>
      </w:pPr>
      <w:r w:rsidRPr="00723CD3">
        <w:t>Create such polices as directed by NCGS and or SBCC Code (1B SBCCC 300.1(b)).</w:t>
      </w:r>
    </w:p>
    <w:p w14:paraId="382A0C59" w14:textId="77777777" w:rsidR="00723CD3" w:rsidRPr="00723CD3" w:rsidRDefault="00723CD3" w:rsidP="00723CD3">
      <w:pPr>
        <w:numPr>
          <w:ilvl w:val="0"/>
          <w:numId w:val="8"/>
        </w:numPr>
        <w:spacing w:before="120" w:after="120" w:line="240" w:lineRule="auto"/>
      </w:pPr>
      <w:r w:rsidRPr="00723CD3">
        <w:t>Differentiate their role from the role of management and administration. (SACSCOC 5.2).</w:t>
      </w:r>
    </w:p>
    <w:p w14:paraId="40288128" w14:textId="4A07FE8D" w:rsidR="00723CD3" w:rsidRPr="00723CD3" w:rsidRDefault="00723CD3" w:rsidP="00723CD3">
      <w:pPr>
        <w:numPr>
          <w:ilvl w:val="0"/>
          <w:numId w:val="8"/>
        </w:numPr>
        <w:spacing w:before="120" w:after="120" w:line="240" w:lineRule="auto"/>
      </w:pPr>
      <w:r w:rsidRPr="00723CD3">
        <w:t xml:space="preserve">Hear appeals from College Personnel as per Board of Trustees Policy (ABTCC Policy </w:t>
      </w:r>
      <w:r w:rsidR="0066225B" w:rsidRPr="00723CD3">
        <w:t xml:space="preserve">and Procedure </w:t>
      </w:r>
      <w:r w:rsidRPr="00723CD3">
        <w:t>509.02</w:t>
      </w:r>
      <w:r w:rsidR="0066225B">
        <w:t xml:space="preserve">: </w:t>
      </w:r>
      <w:r w:rsidRPr="00723CD3">
        <w:t xml:space="preserve"> </w:t>
      </w:r>
      <w:r w:rsidR="0066225B">
        <w:t xml:space="preserve">Employee </w:t>
      </w:r>
      <w:r w:rsidR="006877F8">
        <w:t>Due Process</w:t>
      </w:r>
      <w:r w:rsidRPr="00723CD3">
        <w:t>.</w:t>
      </w:r>
    </w:p>
    <w:p w14:paraId="6CEFB8AA" w14:textId="77777777" w:rsidR="00723CD3" w:rsidRPr="00723CD3" w:rsidRDefault="00723CD3" w:rsidP="002930C7">
      <w:pPr>
        <w:pStyle w:val="Heading3"/>
      </w:pPr>
      <w:r w:rsidRPr="00723CD3">
        <w:t>Academic Quality</w:t>
      </w:r>
    </w:p>
    <w:p w14:paraId="438C497E" w14:textId="77777777" w:rsidR="00723CD3" w:rsidRPr="00723CD3" w:rsidRDefault="00723CD3" w:rsidP="00723CD3">
      <w:pPr>
        <w:numPr>
          <w:ilvl w:val="0"/>
          <w:numId w:val="9"/>
        </w:numPr>
        <w:spacing w:before="120" w:after="120" w:line="240" w:lineRule="auto"/>
      </w:pPr>
      <w:r w:rsidRPr="00723CD3">
        <w:t>Review institutional performance (1B SBCCC 400.3, 1B SBCCC 400.5, 1H SBCCC 200.1(c2)).</w:t>
      </w:r>
    </w:p>
    <w:p w14:paraId="77EC4ACD" w14:textId="77777777" w:rsidR="00723CD3" w:rsidRPr="00723CD3" w:rsidRDefault="00723CD3" w:rsidP="00723CD3">
      <w:pPr>
        <w:numPr>
          <w:ilvl w:val="0"/>
          <w:numId w:val="9"/>
        </w:numPr>
        <w:spacing w:before="120" w:after="120" w:line="240" w:lineRule="auto"/>
      </w:pPr>
      <w:r w:rsidRPr="00723CD3">
        <w:lastRenderedPageBreak/>
        <w:t>Approve any additions or deletions of academic programs (1D SBCCC 400.6).</w:t>
      </w:r>
    </w:p>
    <w:p w14:paraId="3EFE871E" w14:textId="555917EB" w:rsidR="00723CD3" w:rsidRPr="00723CD3" w:rsidRDefault="00723CD3" w:rsidP="00723CD3">
      <w:pPr>
        <w:numPr>
          <w:ilvl w:val="0"/>
          <w:numId w:val="9"/>
        </w:numPr>
        <w:spacing w:before="120" w:after="120" w:line="240" w:lineRule="auto"/>
      </w:pPr>
      <w:r w:rsidRPr="00723CD3">
        <w:t>Recognize and ensure the principle of academic freedom. (ABTCC Policy 201</w:t>
      </w:r>
      <w:r w:rsidR="002C381C">
        <w:t>:</w:t>
      </w:r>
      <w:r w:rsidR="00816253">
        <w:t xml:space="preserve"> </w:t>
      </w:r>
      <w:r w:rsidRPr="00723CD3">
        <w:t xml:space="preserve"> </w:t>
      </w:r>
      <w:r w:rsidR="002C381C">
        <w:t>Academic Freedom</w:t>
      </w:r>
      <w:r w:rsidR="00816253">
        <w:t>,</w:t>
      </w:r>
      <w:r w:rsidR="002C381C">
        <w:t xml:space="preserve"> and </w:t>
      </w:r>
      <w:r w:rsidRPr="00723CD3">
        <w:t>SACSCOC 6.4).</w:t>
      </w:r>
    </w:p>
    <w:p w14:paraId="4592726C" w14:textId="77777777" w:rsidR="00723CD3" w:rsidRPr="00723CD3" w:rsidRDefault="00723CD3" w:rsidP="002930C7">
      <w:pPr>
        <w:pStyle w:val="Heading3"/>
      </w:pPr>
      <w:r w:rsidRPr="00723CD3">
        <w:t>Stewardship of the Institution</w:t>
      </w:r>
    </w:p>
    <w:p w14:paraId="1E3C81FD" w14:textId="77777777" w:rsidR="00723CD3" w:rsidRPr="00723CD3" w:rsidRDefault="00723CD3" w:rsidP="00723CD3">
      <w:pPr>
        <w:numPr>
          <w:ilvl w:val="0"/>
          <w:numId w:val="10"/>
        </w:numPr>
        <w:spacing w:before="120" w:after="120" w:line="240" w:lineRule="auto"/>
      </w:pPr>
      <w:r w:rsidRPr="00723CD3">
        <w:t>Select and evaluate the president (1C SBCCC 300.1 and 300.2).</w:t>
      </w:r>
    </w:p>
    <w:p w14:paraId="125377D7" w14:textId="77777777" w:rsidR="00723CD3" w:rsidRPr="00723CD3" w:rsidRDefault="00723CD3" w:rsidP="00723CD3">
      <w:pPr>
        <w:numPr>
          <w:ilvl w:val="0"/>
          <w:numId w:val="10"/>
        </w:numPr>
        <w:spacing w:before="120" w:after="120" w:line="240" w:lineRule="auto"/>
      </w:pPr>
      <w:r w:rsidRPr="00723CD3">
        <w:t>Protects the institution from undue influence by external persons or bodies (SACSCOC 4.2.f).</w:t>
      </w:r>
    </w:p>
    <w:p w14:paraId="27293E09" w14:textId="77777777" w:rsidR="00723CD3" w:rsidRPr="00723CD3" w:rsidRDefault="00723CD3" w:rsidP="00723CD3">
      <w:pPr>
        <w:numPr>
          <w:ilvl w:val="0"/>
          <w:numId w:val="10"/>
        </w:numPr>
        <w:spacing w:before="120" w:after="120" w:line="240" w:lineRule="auto"/>
      </w:pPr>
      <w:r w:rsidRPr="00723CD3">
        <w:t>Advise the CEO, who is responsible for the management of the organization.</w:t>
      </w:r>
    </w:p>
    <w:p w14:paraId="743DAB52" w14:textId="77777777" w:rsidR="00723CD3" w:rsidRPr="00723CD3" w:rsidRDefault="00723CD3" w:rsidP="00723CD3">
      <w:pPr>
        <w:numPr>
          <w:ilvl w:val="0"/>
          <w:numId w:val="10"/>
        </w:numPr>
        <w:spacing w:before="120" w:after="120" w:line="240" w:lineRule="auto"/>
      </w:pPr>
      <w:r w:rsidRPr="00723CD3">
        <w:t>Safeguard the school's mission, reputation, and resources.</w:t>
      </w:r>
    </w:p>
    <w:p w14:paraId="7CE250A3" w14:textId="77777777" w:rsidR="00723CD3" w:rsidRPr="00723CD3" w:rsidRDefault="00723CD3" w:rsidP="002930C7">
      <w:pPr>
        <w:pStyle w:val="Heading3"/>
      </w:pPr>
      <w:r w:rsidRPr="00723CD3">
        <w:t>These responsibilities are evidenced by:</w:t>
      </w:r>
    </w:p>
    <w:p w14:paraId="113C7421" w14:textId="77777777" w:rsidR="00723CD3" w:rsidRPr="00723CD3" w:rsidRDefault="00723CD3" w:rsidP="00723CD3">
      <w:pPr>
        <w:numPr>
          <w:ilvl w:val="0"/>
          <w:numId w:val="11"/>
        </w:numPr>
        <w:spacing w:before="120" w:after="120" w:line="240" w:lineRule="auto"/>
      </w:pPr>
      <w:r w:rsidRPr="00723CD3">
        <w:t>Abiding by the Code of Ethical Conduct within the BOT Policy Manual.</w:t>
      </w:r>
    </w:p>
    <w:p w14:paraId="573FD3A7" w14:textId="77777777" w:rsidR="00723CD3" w:rsidRPr="00723CD3" w:rsidRDefault="00723CD3" w:rsidP="00723CD3">
      <w:pPr>
        <w:numPr>
          <w:ilvl w:val="0"/>
          <w:numId w:val="11"/>
        </w:numPr>
        <w:spacing w:before="120" w:after="120" w:line="240" w:lineRule="auto"/>
      </w:pPr>
      <w:r w:rsidRPr="00723CD3">
        <w:t>Attending all board and committee meetings, having prepared for them in advance.</w:t>
      </w:r>
    </w:p>
    <w:p w14:paraId="46A79A50" w14:textId="77777777" w:rsidR="00723CD3" w:rsidRPr="00723CD3" w:rsidRDefault="00723CD3" w:rsidP="00723CD3">
      <w:pPr>
        <w:numPr>
          <w:ilvl w:val="0"/>
          <w:numId w:val="11"/>
        </w:numPr>
        <w:spacing w:before="120" w:after="120" w:line="240" w:lineRule="auto"/>
      </w:pPr>
      <w:r w:rsidRPr="00723CD3">
        <w:t>Participating in personal giving and fundraising.</w:t>
      </w:r>
    </w:p>
    <w:p w14:paraId="26D7D771" w14:textId="77777777" w:rsidR="00723CD3" w:rsidRPr="00723CD3" w:rsidRDefault="00723CD3" w:rsidP="00723CD3">
      <w:pPr>
        <w:numPr>
          <w:ilvl w:val="0"/>
          <w:numId w:val="11"/>
        </w:numPr>
        <w:spacing w:before="120" w:after="120" w:line="240" w:lineRule="auto"/>
      </w:pPr>
      <w:r w:rsidRPr="00723CD3">
        <w:t>Avoiding or disclosing conflicts of interest and uphold ethical standards.</w:t>
      </w:r>
    </w:p>
    <w:p w14:paraId="4170BE80" w14:textId="77777777" w:rsidR="00723CD3" w:rsidRPr="00723CD3" w:rsidRDefault="00723CD3" w:rsidP="00723CD3">
      <w:pPr>
        <w:numPr>
          <w:ilvl w:val="0"/>
          <w:numId w:val="11"/>
        </w:numPr>
        <w:spacing w:before="120" w:after="120" w:line="240" w:lineRule="auto"/>
      </w:pPr>
      <w:r w:rsidRPr="00723CD3">
        <w:t>Viewing trustee duties from the perspective of the whole institution, rather than any special interest groups or constituencies.</w:t>
      </w:r>
    </w:p>
    <w:p w14:paraId="1D491409" w14:textId="3D43B044" w:rsidR="00723CD3" w:rsidRPr="00723CD3" w:rsidRDefault="00723CD3" w:rsidP="00723CD3">
      <w:pPr>
        <w:numPr>
          <w:ilvl w:val="0"/>
          <w:numId w:val="11"/>
        </w:numPr>
        <w:spacing w:before="120" w:after="120" w:line="240" w:lineRule="auto"/>
      </w:pPr>
      <w:r w:rsidRPr="00723CD3">
        <w:t xml:space="preserve">Supporting the board’s decision after vetting issues carefully </w:t>
      </w:r>
      <w:r w:rsidR="007B2B76" w:rsidRPr="00723CD3">
        <w:t>despite</w:t>
      </w:r>
      <w:r w:rsidRPr="00723CD3">
        <w:t xml:space="preserve"> disagreements.</w:t>
      </w:r>
    </w:p>
    <w:p w14:paraId="17926774" w14:textId="77777777" w:rsidR="00723CD3" w:rsidRPr="00723CD3" w:rsidRDefault="00723CD3" w:rsidP="00723CD3">
      <w:pPr>
        <w:numPr>
          <w:ilvl w:val="0"/>
          <w:numId w:val="11"/>
        </w:numPr>
        <w:spacing w:before="120" w:after="120" w:line="240" w:lineRule="auto"/>
      </w:pPr>
      <w:r w:rsidRPr="00723CD3">
        <w:t>Maintaining the confidentiality of board matters.</w:t>
      </w:r>
    </w:p>
    <w:p w14:paraId="669779DF" w14:textId="77777777" w:rsidR="00723CD3" w:rsidRPr="00723CD3" w:rsidRDefault="00723CD3" w:rsidP="00723CD3">
      <w:pPr>
        <w:numPr>
          <w:ilvl w:val="0"/>
          <w:numId w:val="11"/>
        </w:numPr>
        <w:spacing w:before="120" w:after="120" w:line="240" w:lineRule="auto"/>
      </w:pPr>
      <w:r w:rsidRPr="00723CD3">
        <w:t xml:space="preserve">Serving as an advocate for the College </w:t>
      </w:r>
    </w:p>
    <w:p w14:paraId="5C2B4AB5" w14:textId="77777777" w:rsidR="00723CD3" w:rsidRPr="00723CD3" w:rsidRDefault="00723CD3" w:rsidP="00723CD3">
      <w:pPr>
        <w:numPr>
          <w:ilvl w:val="0"/>
          <w:numId w:val="11"/>
        </w:numPr>
        <w:spacing w:before="120" w:after="120" w:line="240" w:lineRule="auto"/>
      </w:pPr>
      <w:r w:rsidRPr="00723CD3">
        <w:t>Suggesting agenda items to assure that significant policy-related matters are addressed.</w:t>
      </w:r>
    </w:p>
    <w:p w14:paraId="03DDF4C6" w14:textId="77777777" w:rsidR="00723CD3" w:rsidRPr="00723CD3" w:rsidRDefault="00723CD3" w:rsidP="00723CD3">
      <w:pPr>
        <w:numPr>
          <w:ilvl w:val="0"/>
          <w:numId w:val="11"/>
        </w:numPr>
        <w:spacing w:before="120" w:after="120" w:line="240" w:lineRule="auto"/>
      </w:pPr>
      <w:r w:rsidRPr="00723CD3">
        <w:t>Avoiding making any requests directly to A-B Tech employees without consultation with the Board Chair and the College President.</w:t>
      </w:r>
    </w:p>
    <w:p w14:paraId="7503FC6F" w14:textId="77777777" w:rsidR="00723CD3" w:rsidRPr="00723CD3" w:rsidRDefault="00723CD3" w:rsidP="00723CD3">
      <w:pPr>
        <w:numPr>
          <w:ilvl w:val="0"/>
          <w:numId w:val="11"/>
        </w:numPr>
        <w:spacing w:before="120" w:after="120" w:line="240" w:lineRule="auto"/>
      </w:pPr>
      <w:r w:rsidRPr="00723CD3">
        <w:t>Rejecting any offers of favors or gifts from or to anyone who is employed or served by the College or who is doing business with the College (NC General Statute 133-32).</w:t>
      </w:r>
    </w:p>
    <w:p w14:paraId="60EB396F" w14:textId="77777777" w:rsidR="00A14015" w:rsidRDefault="00A14015" w:rsidP="00DA677C">
      <w:pPr>
        <w:pStyle w:val="Heading3"/>
      </w:pPr>
      <w:r>
        <w:t>References:</w:t>
      </w:r>
    </w:p>
    <w:p w14:paraId="3B074F96" w14:textId="77777777" w:rsidR="00A14015" w:rsidRDefault="00A14015" w:rsidP="0093446E">
      <w:pPr>
        <w:spacing w:before="120" w:after="120" w:line="240" w:lineRule="auto"/>
      </w:pPr>
      <w:r>
        <w:t>State Government Ethics Act (Board of Trustees)</w:t>
      </w:r>
    </w:p>
    <w:p w14:paraId="56430683" w14:textId="77777777" w:rsidR="002E6E47" w:rsidRDefault="002E6E47" w:rsidP="002E6E47">
      <w:pPr>
        <w:spacing w:before="120" w:after="120" w:line="240" w:lineRule="auto"/>
        <w:rPr>
          <w:rFonts w:cstheme="minorHAnsi"/>
        </w:rPr>
      </w:pPr>
      <w:r w:rsidRPr="0011199C">
        <w:rPr>
          <w:rFonts w:cstheme="minorHAnsi"/>
        </w:rPr>
        <w:t xml:space="preserve">Policy 201, </w:t>
      </w:r>
      <w:r>
        <w:rPr>
          <w:rFonts w:cstheme="minorHAnsi"/>
        </w:rPr>
        <w:t>Academic Freedom</w:t>
      </w:r>
    </w:p>
    <w:p w14:paraId="35237612" w14:textId="02C66B57" w:rsidR="00557107" w:rsidRDefault="00850976" w:rsidP="0093446E">
      <w:pPr>
        <w:spacing w:before="120" w:after="120" w:line="240" w:lineRule="auto"/>
        <w:rPr>
          <w:rFonts w:eastAsia="Times New Roman" w:cstheme="minorHAnsi"/>
        </w:rPr>
      </w:pPr>
      <w:r w:rsidRPr="0011199C">
        <w:rPr>
          <w:rFonts w:eastAsia="Times New Roman" w:cstheme="minorHAnsi"/>
        </w:rPr>
        <w:t>Policy 400</w:t>
      </w:r>
      <w:r w:rsidR="00557107">
        <w:rPr>
          <w:rFonts w:eastAsia="Times New Roman" w:cstheme="minorHAnsi"/>
        </w:rPr>
        <w:t>, Sound Fiscal and Management Practices</w:t>
      </w:r>
    </w:p>
    <w:p w14:paraId="41B5CEC4" w14:textId="74C77EF7" w:rsidR="002E6E47" w:rsidRPr="0011199C" w:rsidRDefault="002E6E47" w:rsidP="002E6E47">
      <w:pPr>
        <w:shd w:val="clear" w:color="auto" w:fill="FFFFFF"/>
        <w:spacing w:before="120" w:after="120" w:line="240" w:lineRule="auto"/>
        <w:textAlignment w:val="baseline"/>
        <w:rPr>
          <w:rFonts w:eastAsia="Times New Roman" w:cstheme="minorHAnsi"/>
        </w:rPr>
      </w:pPr>
      <w:r w:rsidRPr="0011199C">
        <w:rPr>
          <w:rFonts w:eastAsia="Times New Roman" w:cstheme="minorHAnsi"/>
        </w:rPr>
        <w:t>Policy 509.02</w:t>
      </w:r>
      <w:r>
        <w:rPr>
          <w:rFonts w:eastAsia="Times New Roman" w:cstheme="minorHAnsi"/>
        </w:rPr>
        <w:t>, Employee Due Process</w:t>
      </w:r>
    </w:p>
    <w:p w14:paraId="3D150057" w14:textId="77777777" w:rsidR="002A1E20" w:rsidRDefault="002A1E20" w:rsidP="002A1E20">
      <w:pPr>
        <w:spacing w:before="120" w:after="120" w:line="240" w:lineRule="auto"/>
        <w:rPr>
          <w:rFonts w:cstheme="minorHAnsi"/>
        </w:rPr>
      </w:pPr>
      <w:r w:rsidRPr="0011199C">
        <w:rPr>
          <w:rFonts w:cstheme="minorHAnsi"/>
        </w:rPr>
        <w:t>G.S. 115D-20(9)</w:t>
      </w:r>
    </w:p>
    <w:p w14:paraId="11F35065" w14:textId="77777777" w:rsidR="002A1E20" w:rsidRDefault="002A1E20" w:rsidP="002A1E20">
      <w:pPr>
        <w:spacing w:before="120" w:after="120" w:line="240" w:lineRule="auto"/>
        <w:rPr>
          <w:rFonts w:eastAsia="Times New Roman" w:cstheme="minorHAnsi"/>
        </w:rPr>
      </w:pPr>
      <w:r w:rsidRPr="0011199C">
        <w:rPr>
          <w:rFonts w:cstheme="minorHAnsi"/>
        </w:rPr>
        <w:t>G.S. 7 115D-58.16</w:t>
      </w:r>
      <w:r w:rsidRPr="00386311">
        <w:rPr>
          <w:rFonts w:eastAsia="Times New Roman" w:cstheme="minorHAnsi"/>
        </w:rPr>
        <w:t xml:space="preserve"> </w:t>
      </w:r>
    </w:p>
    <w:p w14:paraId="5484D69A" w14:textId="77777777" w:rsidR="002A1E20" w:rsidRDefault="002A1E20" w:rsidP="002A1E20">
      <w:pPr>
        <w:spacing w:before="120" w:after="120" w:line="240" w:lineRule="auto"/>
        <w:rPr>
          <w:rFonts w:cstheme="minorHAnsi"/>
        </w:rPr>
      </w:pPr>
      <w:r>
        <w:rPr>
          <w:rFonts w:eastAsia="Times New Roman" w:cstheme="minorHAnsi"/>
        </w:rPr>
        <w:t>G. S.</w:t>
      </w:r>
      <w:r w:rsidRPr="0011199C">
        <w:rPr>
          <w:rFonts w:eastAsia="Times New Roman" w:cstheme="minorHAnsi"/>
        </w:rPr>
        <w:t xml:space="preserve"> 133-32</w:t>
      </w:r>
    </w:p>
    <w:p w14:paraId="7F5BD880" w14:textId="77777777" w:rsidR="005F3985" w:rsidRDefault="00850976" w:rsidP="0093446E">
      <w:pPr>
        <w:spacing w:before="120" w:after="120" w:line="240" w:lineRule="auto"/>
        <w:rPr>
          <w:rFonts w:cstheme="minorHAnsi"/>
        </w:rPr>
      </w:pPr>
      <w:r w:rsidRPr="0011199C">
        <w:rPr>
          <w:rFonts w:cstheme="minorHAnsi"/>
        </w:rPr>
        <w:t>G.S. 143D-7</w:t>
      </w:r>
    </w:p>
    <w:p w14:paraId="2CADE3C2" w14:textId="77777777" w:rsidR="00386311" w:rsidRPr="0011199C" w:rsidRDefault="00386311" w:rsidP="00386311">
      <w:pPr>
        <w:spacing w:before="120" w:after="120" w:line="240" w:lineRule="auto"/>
        <w:rPr>
          <w:rFonts w:cstheme="minorHAnsi"/>
        </w:rPr>
      </w:pPr>
      <w:r w:rsidRPr="0011199C">
        <w:rPr>
          <w:rFonts w:cstheme="minorHAnsi"/>
        </w:rPr>
        <w:t>SACSCOC 1.1</w:t>
      </w:r>
    </w:p>
    <w:p w14:paraId="3B34F7BC" w14:textId="77777777" w:rsidR="00151B85" w:rsidRPr="0011199C" w:rsidRDefault="00151B85" w:rsidP="00151B85">
      <w:pPr>
        <w:spacing w:before="120" w:after="120" w:line="240" w:lineRule="auto"/>
        <w:rPr>
          <w:rFonts w:eastAsia="Times New Roman" w:cstheme="minorHAnsi"/>
        </w:rPr>
      </w:pPr>
      <w:r w:rsidRPr="0011199C">
        <w:rPr>
          <w:rFonts w:eastAsia="Times New Roman" w:cstheme="minorHAnsi"/>
        </w:rPr>
        <w:lastRenderedPageBreak/>
        <w:t>SACSCOC 4.1(a)</w:t>
      </w:r>
    </w:p>
    <w:p w14:paraId="18112981" w14:textId="58CA6F57" w:rsidR="00386311" w:rsidRPr="0011199C" w:rsidRDefault="00850976" w:rsidP="00386311">
      <w:pPr>
        <w:spacing w:before="120" w:after="120" w:line="240" w:lineRule="auto"/>
        <w:rPr>
          <w:rFonts w:eastAsia="Times New Roman" w:cstheme="minorHAnsi"/>
        </w:rPr>
      </w:pPr>
      <w:r w:rsidRPr="0011199C">
        <w:rPr>
          <w:rFonts w:cstheme="minorHAnsi"/>
        </w:rPr>
        <w:t>SACSCOC 4.1(b)</w:t>
      </w:r>
      <w:r w:rsidR="00386311" w:rsidRPr="00386311">
        <w:rPr>
          <w:rFonts w:eastAsia="Times New Roman" w:cstheme="minorHAnsi"/>
        </w:rPr>
        <w:t xml:space="preserve"> </w:t>
      </w:r>
    </w:p>
    <w:p w14:paraId="687989DC" w14:textId="77777777" w:rsidR="00386311" w:rsidRPr="0011199C" w:rsidRDefault="00386311" w:rsidP="00386311">
      <w:pPr>
        <w:spacing w:before="120" w:after="120" w:line="240" w:lineRule="auto"/>
        <w:rPr>
          <w:rFonts w:eastAsia="Times New Roman" w:cstheme="minorHAnsi"/>
        </w:rPr>
      </w:pPr>
      <w:r w:rsidRPr="0011199C">
        <w:rPr>
          <w:rFonts w:eastAsia="Times New Roman" w:cstheme="minorHAnsi"/>
        </w:rPr>
        <w:t>SACSCOC 4.2.f</w:t>
      </w:r>
    </w:p>
    <w:p w14:paraId="42410D91" w14:textId="77777777" w:rsidR="00386311" w:rsidRPr="0011199C" w:rsidRDefault="00386311" w:rsidP="00386311">
      <w:pPr>
        <w:spacing w:before="120" w:after="120" w:line="240" w:lineRule="auto"/>
        <w:rPr>
          <w:rFonts w:eastAsia="Times New Roman" w:cstheme="minorHAnsi"/>
        </w:rPr>
      </w:pPr>
      <w:r w:rsidRPr="0011199C">
        <w:rPr>
          <w:rFonts w:eastAsia="Times New Roman" w:cstheme="minorHAnsi"/>
        </w:rPr>
        <w:t>SACSCOC 5.2</w:t>
      </w:r>
    </w:p>
    <w:p w14:paraId="256A69A8" w14:textId="77777777" w:rsidR="00386311" w:rsidRPr="0011199C" w:rsidRDefault="00386311" w:rsidP="00386311">
      <w:pPr>
        <w:spacing w:before="120" w:after="120" w:line="240" w:lineRule="auto"/>
        <w:rPr>
          <w:rFonts w:eastAsia="Times New Roman" w:cstheme="minorHAnsi"/>
        </w:rPr>
      </w:pPr>
      <w:r w:rsidRPr="0011199C">
        <w:rPr>
          <w:rFonts w:cstheme="minorHAnsi"/>
        </w:rPr>
        <w:t>SACSCOC 6.4</w:t>
      </w:r>
    </w:p>
    <w:p w14:paraId="61C81875" w14:textId="071C0884" w:rsidR="00A14015" w:rsidRPr="0011199C" w:rsidRDefault="00025084" w:rsidP="0093446E">
      <w:pPr>
        <w:spacing w:before="120" w:after="120" w:line="240" w:lineRule="auto"/>
        <w:rPr>
          <w:rFonts w:eastAsia="Times New Roman" w:cstheme="minorHAnsi"/>
        </w:rPr>
      </w:pPr>
      <w:r w:rsidRPr="0011199C">
        <w:rPr>
          <w:rFonts w:eastAsia="Times New Roman" w:cstheme="minorHAnsi"/>
        </w:rPr>
        <w:t>1A SBCCC 200.4</w:t>
      </w:r>
    </w:p>
    <w:p w14:paraId="0DC576EB" w14:textId="77777777" w:rsidR="005F3985" w:rsidRDefault="00A36AB0" w:rsidP="0093446E">
      <w:pPr>
        <w:spacing w:before="120" w:after="120" w:line="240" w:lineRule="auto"/>
        <w:rPr>
          <w:rFonts w:eastAsia="Times New Roman" w:cstheme="minorHAnsi"/>
        </w:rPr>
      </w:pPr>
      <w:r w:rsidRPr="0011199C">
        <w:rPr>
          <w:rFonts w:eastAsia="Times New Roman" w:cstheme="minorHAnsi"/>
        </w:rPr>
        <w:t>1B SBCCC 300.1 and 300.2</w:t>
      </w:r>
    </w:p>
    <w:p w14:paraId="602CBEAE" w14:textId="61FA83E6" w:rsidR="00025084" w:rsidRPr="0011199C" w:rsidRDefault="00210128" w:rsidP="0093446E">
      <w:pPr>
        <w:spacing w:before="120" w:after="120" w:line="240" w:lineRule="auto"/>
        <w:rPr>
          <w:rFonts w:eastAsia="Times New Roman" w:cstheme="minorHAnsi"/>
        </w:rPr>
      </w:pPr>
      <w:r w:rsidRPr="0011199C">
        <w:rPr>
          <w:rFonts w:eastAsia="Times New Roman" w:cstheme="minorHAnsi"/>
        </w:rPr>
        <w:t>1B SBCCC 400.2</w:t>
      </w:r>
    </w:p>
    <w:p w14:paraId="1F717E12" w14:textId="77777777" w:rsidR="005001E4" w:rsidRDefault="007E4F89" w:rsidP="007B6406">
      <w:pPr>
        <w:shd w:val="clear" w:color="auto" w:fill="FFFFFF"/>
        <w:spacing w:before="120" w:after="120" w:line="240" w:lineRule="auto"/>
        <w:rPr>
          <w:rFonts w:eastAsia="Times New Roman" w:cstheme="minorHAnsi"/>
        </w:rPr>
      </w:pPr>
      <w:r w:rsidRPr="0011199C">
        <w:rPr>
          <w:rFonts w:eastAsia="Times New Roman" w:cstheme="minorHAnsi"/>
        </w:rPr>
        <w:t>1B SBCCC 400.3</w:t>
      </w:r>
    </w:p>
    <w:p w14:paraId="379A6838" w14:textId="7018542C" w:rsidR="005001E4" w:rsidRDefault="007E4F89" w:rsidP="007B6406">
      <w:pPr>
        <w:shd w:val="clear" w:color="auto" w:fill="FFFFFF"/>
        <w:spacing w:before="120" w:after="120" w:line="240" w:lineRule="auto"/>
        <w:rPr>
          <w:rFonts w:eastAsia="Times New Roman" w:cstheme="minorHAnsi"/>
        </w:rPr>
      </w:pPr>
      <w:r w:rsidRPr="0011199C">
        <w:rPr>
          <w:rFonts w:eastAsia="Times New Roman" w:cstheme="minorHAnsi"/>
        </w:rPr>
        <w:t xml:space="preserve">1B SBCCC 400.5, </w:t>
      </w:r>
    </w:p>
    <w:p w14:paraId="7D37851C" w14:textId="77777777" w:rsidR="00386311" w:rsidRPr="0011199C" w:rsidRDefault="00386311" w:rsidP="00386311">
      <w:pPr>
        <w:spacing w:before="120" w:after="120" w:line="240" w:lineRule="auto"/>
        <w:rPr>
          <w:rFonts w:eastAsia="Times New Roman" w:cstheme="minorHAnsi"/>
        </w:rPr>
      </w:pPr>
      <w:r w:rsidRPr="0011199C">
        <w:rPr>
          <w:rFonts w:eastAsia="Times New Roman" w:cstheme="minorHAnsi"/>
        </w:rPr>
        <w:t>1D SBCCC 400.6</w:t>
      </w:r>
    </w:p>
    <w:p w14:paraId="718FCB36" w14:textId="319702AA" w:rsidR="007E4F89" w:rsidRPr="0011199C" w:rsidRDefault="007E4F89" w:rsidP="007B6406">
      <w:pPr>
        <w:shd w:val="clear" w:color="auto" w:fill="FFFFFF"/>
        <w:spacing w:before="120" w:after="120" w:line="240" w:lineRule="auto"/>
        <w:rPr>
          <w:rFonts w:eastAsia="Times New Roman" w:cstheme="minorHAnsi"/>
        </w:rPr>
      </w:pPr>
      <w:r w:rsidRPr="0011199C">
        <w:rPr>
          <w:rFonts w:eastAsia="Times New Roman" w:cstheme="minorHAnsi"/>
        </w:rPr>
        <w:t>1H SBCCC 200.1(c2)</w:t>
      </w:r>
    </w:p>
    <w:p w14:paraId="29BFC3CD" w14:textId="77777777" w:rsidR="00386311" w:rsidRPr="0011199C" w:rsidRDefault="00386311" w:rsidP="00386311">
      <w:pPr>
        <w:spacing w:before="120" w:after="120" w:line="240" w:lineRule="auto"/>
        <w:rPr>
          <w:rFonts w:eastAsia="Times New Roman" w:cstheme="minorHAnsi"/>
        </w:rPr>
      </w:pPr>
      <w:r w:rsidRPr="0011199C">
        <w:rPr>
          <w:rFonts w:eastAsia="Times New Roman" w:cstheme="minorHAnsi"/>
        </w:rPr>
        <w:t>1H SBCCC 400.3, 400.4, and 400.6</w:t>
      </w:r>
    </w:p>
    <w:p w14:paraId="1B7200BC" w14:textId="77777777" w:rsidR="0080363F" w:rsidRDefault="0080363F" w:rsidP="0093446E">
      <w:pPr>
        <w:spacing w:before="120" w:after="120" w:line="240" w:lineRule="auto"/>
        <w:rPr>
          <w:rFonts w:ascii="Times New Roman" w:eastAsia="Times New Roman" w:hAnsi="Times New Roman" w:cs="Times New Roman"/>
          <w:sz w:val="24"/>
          <w:szCs w:val="24"/>
        </w:rPr>
      </w:pPr>
    </w:p>
    <w:p w14:paraId="252D4F7D" w14:textId="77777777" w:rsidR="00A14015" w:rsidRDefault="00A14015" w:rsidP="0093446E">
      <w:pPr>
        <w:spacing w:before="120" w:after="120" w:line="240" w:lineRule="auto"/>
      </w:pPr>
      <w:r w:rsidRPr="00DA677C">
        <w:rPr>
          <w:rStyle w:val="Heading3Char"/>
        </w:rPr>
        <w:t>Owner for Board of Trustees:</w:t>
      </w:r>
      <w:r>
        <w:t xml:space="preserve">  President</w:t>
      </w:r>
    </w:p>
    <w:p w14:paraId="39DB9933" w14:textId="67D04BB1" w:rsidR="00B7282C" w:rsidRPr="00B7282C" w:rsidRDefault="00723CD3" w:rsidP="0093446E">
      <w:pPr>
        <w:spacing w:before="120" w:after="120" w:line="240" w:lineRule="auto"/>
      </w:pPr>
      <w:r>
        <w:rPr>
          <w:rStyle w:val="Heading3Char"/>
        </w:rPr>
        <w:t>Adopted</w:t>
      </w:r>
      <w:r w:rsidR="00DA677C" w:rsidRPr="00DA677C">
        <w:rPr>
          <w:rStyle w:val="Heading3Char"/>
        </w:rPr>
        <w:t>:</w:t>
      </w:r>
      <w:r w:rsidR="00DA677C">
        <w:t xml:space="preserve">  </w:t>
      </w:r>
      <w:r>
        <w:t>June 3, 2024</w:t>
      </w:r>
    </w:p>
    <w:sectPr w:rsidR="00B7282C"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82CAD" w14:textId="77777777" w:rsidR="002A5804" w:rsidRDefault="002A5804" w:rsidP="006D2130">
      <w:pPr>
        <w:spacing w:after="0" w:line="240" w:lineRule="auto"/>
      </w:pPr>
      <w:r>
        <w:separator/>
      </w:r>
    </w:p>
  </w:endnote>
  <w:endnote w:type="continuationSeparator" w:id="0">
    <w:p w14:paraId="5903B3C6" w14:textId="77777777" w:rsidR="002A5804" w:rsidRDefault="002A5804" w:rsidP="006D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379860"/>
      <w:docPartObj>
        <w:docPartGallery w:val="Page Numbers (Bottom of Page)"/>
        <w:docPartUnique/>
      </w:docPartObj>
    </w:sdtPr>
    <w:sdtEndPr>
      <w:rPr>
        <w:noProof/>
      </w:rPr>
    </w:sdtEndPr>
    <w:sdtContent>
      <w:p w14:paraId="2155B6DD" w14:textId="44CD2CF4" w:rsidR="006D2130" w:rsidRDefault="006D2130">
        <w:pPr>
          <w:pStyle w:val="Footer"/>
          <w:jc w:val="center"/>
        </w:pPr>
        <w:r>
          <w:fldChar w:fldCharType="begin"/>
        </w:r>
        <w:r>
          <w:instrText xml:space="preserve"> PAGE   \* MERGEFORMAT </w:instrText>
        </w:r>
        <w:r>
          <w:fldChar w:fldCharType="separate"/>
        </w:r>
        <w:r w:rsidR="00BC607F">
          <w:rPr>
            <w:noProof/>
          </w:rPr>
          <w:t>3</w:t>
        </w:r>
        <w:r>
          <w:rPr>
            <w:noProof/>
          </w:rPr>
          <w:fldChar w:fldCharType="end"/>
        </w:r>
      </w:p>
    </w:sdtContent>
  </w:sdt>
  <w:p w14:paraId="7CB12637" w14:textId="77777777" w:rsidR="006D2130" w:rsidRDefault="006D2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AAC33" w14:textId="77777777" w:rsidR="002A5804" w:rsidRDefault="002A5804" w:rsidP="006D2130">
      <w:pPr>
        <w:spacing w:after="0" w:line="240" w:lineRule="auto"/>
      </w:pPr>
      <w:r>
        <w:separator/>
      </w:r>
    </w:p>
  </w:footnote>
  <w:footnote w:type="continuationSeparator" w:id="0">
    <w:p w14:paraId="4191D2C4" w14:textId="77777777" w:rsidR="002A5804" w:rsidRDefault="002A5804" w:rsidP="006D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577D"/>
    <w:multiLevelType w:val="hybridMultilevel"/>
    <w:tmpl w:val="A98E4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D41C0"/>
    <w:multiLevelType w:val="hybridMultilevel"/>
    <w:tmpl w:val="6DFCD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A2D77"/>
    <w:multiLevelType w:val="hybridMultilevel"/>
    <w:tmpl w:val="B4468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376B0"/>
    <w:multiLevelType w:val="hybridMultilevel"/>
    <w:tmpl w:val="18F0E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717AF"/>
    <w:multiLevelType w:val="hybridMultilevel"/>
    <w:tmpl w:val="939A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C020F"/>
    <w:multiLevelType w:val="hybridMultilevel"/>
    <w:tmpl w:val="6CA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C6442"/>
    <w:multiLevelType w:val="hybridMultilevel"/>
    <w:tmpl w:val="7426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B5E9A"/>
    <w:multiLevelType w:val="hybridMultilevel"/>
    <w:tmpl w:val="2214D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3629BA"/>
    <w:multiLevelType w:val="hybridMultilevel"/>
    <w:tmpl w:val="E706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9C3000"/>
    <w:multiLevelType w:val="hybridMultilevel"/>
    <w:tmpl w:val="3460D8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7E6F4639"/>
    <w:multiLevelType w:val="hybridMultilevel"/>
    <w:tmpl w:val="7186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926109">
    <w:abstractNumId w:val="7"/>
  </w:num>
  <w:num w:numId="2" w16cid:durableId="356736506">
    <w:abstractNumId w:val="3"/>
  </w:num>
  <w:num w:numId="3" w16cid:durableId="70395775">
    <w:abstractNumId w:val="1"/>
  </w:num>
  <w:num w:numId="4" w16cid:durableId="774835196">
    <w:abstractNumId w:val="0"/>
  </w:num>
  <w:num w:numId="5" w16cid:durableId="521014756">
    <w:abstractNumId w:val="8"/>
  </w:num>
  <w:num w:numId="6" w16cid:durableId="60754981">
    <w:abstractNumId w:val="2"/>
  </w:num>
  <w:num w:numId="7" w16cid:durableId="213465484">
    <w:abstractNumId w:val="6"/>
  </w:num>
  <w:num w:numId="8" w16cid:durableId="756096320">
    <w:abstractNumId w:val="5"/>
  </w:num>
  <w:num w:numId="9" w16cid:durableId="1376730670">
    <w:abstractNumId w:val="4"/>
  </w:num>
  <w:num w:numId="10" w16cid:durableId="858930436">
    <w:abstractNumId w:val="10"/>
  </w:num>
  <w:num w:numId="11" w16cid:durableId="5305292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04278"/>
    <w:rsid w:val="00025084"/>
    <w:rsid w:val="00110C67"/>
    <w:rsid w:val="0011199C"/>
    <w:rsid w:val="00151B85"/>
    <w:rsid w:val="00186E5B"/>
    <w:rsid w:val="001A4187"/>
    <w:rsid w:val="00210128"/>
    <w:rsid w:val="002930C7"/>
    <w:rsid w:val="002A1E20"/>
    <w:rsid w:val="002A5804"/>
    <w:rsid w:val="002C381C"/>
    <w:rsid w:val="002E2F20"/>
    <w:rsid w:val="002E6E47"/>
    <w:rsid w:val="00386311"/>
    <w:rsid w:val="005001E4"/>
    <w:rsid w:val="005353F9"/>
    <w:rsid w:val="00536958"/>
    <w:rsid w:val="00557107"/>
    <w:rsid w:val="005850E8"/>
    <w:rsid w:val="005D2503"/>
    <w:rsid w:val="005F3985"/>
    <w:rsid w:val="006357A7"/>
    <w:rsid w:val="0066225B"/>
    <w:rsid w:val="006877F8"/>
    <w:rsid w:val="006D2130"/>
    <w:rsid w:val="006F1627"/>
    <w:rsid w:val="00700FD2"/>
    <w:rsid w:val="0070361E"/>
    <w:rsid w:val="00723CD3"/>
    <w:rsid w:val="00791D1B"/>
    <w:rsid w:val="007B040C"/>
    <w:rsid w:val="007B2B76"/>
    <w:rsid w:val="007B6406"/>
    <w:rsid w:val="007B6691"/>
    <w:rsid w:val="007E4F89"/>
    <w:rsid w:val="0080363F"/>
    <w:rsid w:val="00816253"/>
    <w:rsid w:val="00850976"/>
    <w:rsid w:val="008C7935"/>
    <w:rsid w:val="00902FD7"/>
    <w:rsid w:val="00913515"/>
    <w:rsid w:val="0091422C"/>
    <w:rsid w:val="00917217"/>
    <w:rsid w:val="0093446E"/>
    <w:rsid w:val="009410DB"/>
    <w:rsid w:val="009926DA"/>
    <w:rsid w:val="00A14015"/>
    <w:rsid w:val="00A36AB0"/>
    <w:rsid w:val="00A8025E"/>
    <w:rsid w:val="00AA1C2D"/>
    <w:rsid w:val="00AC0FB3"/>
    <w:rsid w:val="00AC2394"/>
    <w:rsid w:val="00AC2833"/>
    <w:rsid w:val="00AF5798"/>
    <w:rsid w:val="00B7282C"/>
    <w:rsid w:val="00BC607F"/>
    <w:rsid w:val="00C300AF"/>
    <w:rsid w:val="00D36D59"/>
    <w:rsid w:val="00DA677C"/>
    <w:rsid w:val="00DA7301"/>
    <w:rsid w:val="00DC46E7"/>
    <w:rsid w:val="00DD553E"/>
    <w:rsid w:val="00E33963"/>
    <w:rsid w:val="00E52999"/>
    <w:rsid w:val="00E81887"/>
    <w:rsid w:val="00E90649"/>
    <w:rsid w:val="00F949E7"/>
    <w:rsid w:val="00FF4118"/>
    <w:rsid w:val="00FF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EF35"/>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344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3446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3446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3446E"/>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93446E"/>
    <w:pPr>
      <w:ind w:left="720"/>
      <w:contextualSpacing/>
    </w:pPr>
  </w:style>
  <w:style w:type="character" w:styleId="Hyperlink">
    <w:name w:val="Hyperlink"/>
    <w:basedOn w:val="DefaultParagraphFont"/>
    <w:uiPriority w:val="99"/>
    <w:unhideWhenUsed/>
    <w:rsid w:val="00E90649"/>
    <w:rPr>
      <w:color w:val="0000FF" w:themeColor="hyperlink"/>
      <w:u w:val="single"/>
    </w:rPr>
  </w:style>
  <w:style w:type="paragraph" w:styleId="Header">
    <w:name w:val="header"/>
    <w:basedOn w:val="Normal"/>
    <w:link w:val="HeaderChar"/>
    <w:uiPriority w:val="99"/>
    <w:unhideWhenUsed/>
    <w:rsid w:val="006D2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130"/>
  </w:style>
  <w:style w:type="paragraph" w:styleId="Footer">
    <w:name w:val="footer"/>
    <w:basedOn w:val="Normal"/>
    <w:link w:val="FooterChar"/>
    <w:uiPriority w:val="99"/>
    <w:unhideWhenUsed/>
    <w:rsid w:val="006D2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1183</Policy_x0020_Topic>
    <Related_x0020_Forms xmlns="35a135f3-0890-48fe-9b8a-01319c4a237d"/>
    <_dlc_DocId xmlns="bebb4801-54de-4360-b8be-17d68ad98198">5XFVYUFMDQTF-1824054229-702</_dlc_DocId>
    <_dlc_DocIdUrl xmlns="bebb4801-54de-4360-b8be-17d68ad98198">
      <Url>https://policies.abtech.edu/_layouts/15/DocIdRedir.aspx?ID=5XFVYUFMDQTF-1824054229-702</Url>
      <Description>5XFVYUFMDQTF-1824054229-702</Description>
    </_dlc_DocIdUrl>
    <_dlc_DocIdPersistId xmlns="bebb4801-54de-4360-b8be-17d68ad98198">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18248-8BEB-4424-AF07-59D6BB36727D}">
  <ds:schemaRefs>
    <ds:schemaRef ds:uri="http://schemas.microsoft.com/sharepoint/events"/>
  </ds:schemaRefs>
</ds:datastoreItem>
</file>

<file path=customXml/itemProps2.xml><?xml version="1.0" encoding="utf-8"?>
<ds:datastoreItem xmlns:ds="http://schemas.openxmlformats.org/officeDocument/2006/customXml" ds:itemID="{1EEAA324-484D-4946-AA8B-5FDB1CAF449F}">
  <ds:schemaRefs>
    <ds:schemaRef ds:uri="http://schemas.microsoft.com/sharepoint/v3/contenttype/forms"/>
  </ds:schemaRefs>
</ds:datastoreItem>
</file>

<file path=customXml/itemProps3.xml><?xml version="1.0" encoding="utf-8"?>
<ds:datastoreItem xmlns:ds="http://schemas.openxmlformats.org/officeDocument/2006/customXml" ds:itemID="{FC314627-3D80-4225-AD9F-57CDE73F001C}">
  <ds:schemaRefs>
    <ds:schemaRef ds:uri="http://schemas.microsoft.com/office/2006/metadata/properties"/>
    <ds:schemaRef ds:uri="http://schemas.microsoft.com/office/infopath/2007/PartnerControls"/>
    <ds:schemaRef ds:uri="35a135f3-0890-48fe-9b8a-01319c4a237d"/>
    <ds:schemaRef ds:uri="bebb4801-54de-4360-b8be-17d68ad98198"/>
  </ds:schemaRefs>
</ds:datastoreItem>
</file>

<file path=customXml/itemProps4.xml><?xml version="1.0" encoding="utf-8"?>
<ds:datastoreItem xmlns:ds="http://schemas.openxmlformats.org/officeDocument/2006/customXml" ds:itemID="{183A95B7-871E-453F-8BEA-586D4394D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527</Words>
  <Characters>3255</Characters>
  <Application>Microsoft Office Word</Application>
  <DocSecurity>0</DocSecurity>
  <Lines>108</Lines>
  <Paragraphs>50</Paragraphs>
  <ScaleCrop>false</ScaleCrop>
  <HeadingPairs>
    <vt:vector size="2" baseType="variant">
      <vt:variant>
        <vt:lpstr>Title</vt:lpstr>
      </vt:variant>
      <vt:variant>
        <vt:i4>1</vt:i4>
      </vt:variant>
    </vt:vector>
  </HeadingPairs>
  <TitlesOfParts>
    <vt:vector size="1" baseType="lpstr">
      <vt:lpstr>Code of Ethical Conduct Procedure</vt:lpstr>
    </vt:vector>
  </TitlesOfParts>
  <Company>A-B Tech Community College</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Trustees Expectations and Responsibilities</dc:title>
  <dc:subject/>
  <dc:creator>Carolyn H Rice</dc:creator>
  <cp:keywords/>
  <dc:description/>
  <cp:lastModifiedBy>Carolyn H. Rice</cp:lastModifiedBy>
  <cp:revision>10</cp:revision>
  <dcterms:created xsi:type="dcterms:W3CDTF">2024-05-24T20:58:00Z</dcterms:created>
  <dcterms:modified xsi:type="dcterms:W3CDTF">2024-05-29T19:04:00Z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3a393990-8e5a-49a6-bee4-42e75565aeed</vt:lpwstr>
  </property>
  <property fmtid="{D5CDD505-2E9C-101B-9397-08002B2CF9AE}" pid="4" name="Order">
    <vt:r8>70200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